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libri" w:hAnsi="Calibri"/>
          <w:b/>
          <w:color w:val="000000"/>
          <w:sz w:val="30"/>
        </w:rPr>
        <w:t>MODUL AJAR / RANCANGAN PELAKSANAAN MENGAJAR (RPM)</w:t>
      </w:r>
    </w:p>
    <w:p>
      <w:pPr>
        <w:spacing w:before="0" w:after="80"/>
        <w:jc w:val="center"/>
      </w:pPr>
      <w:r>
        <w:rPr>
          <w:rFonts w:ascii="Calibri" w:hAnsi="Calibri"/>
          <w:b/>
          <w:color w:val="000000"/>
          <w:sz w:val="26"/>
        </w:rPr>
        <w:t>SELICA Literacy Corner (SLC)</w:t>
      </w:r>
    </w:p>
    <w:p>
      <w:pPr>
        <w:spacing w:before="0" w:after="320"/>
        <w:jc w:val="center"/>
      </w:pPr>
      <w:r>
        <w:rPr>
          <w:rFonts w:ascii="Calibri" w:hAnsi="Calibri"/>
          <w:i/>
          <w:color w:val="000000"/>
          <w:sz w:val="22"/>
        </w:rPr>
        <w:t>PERTEMUAN 6: Bookventure Jelajah Budaya Nusantara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A. Identitas Program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4680"/>
        <w:gridCol w:w="4680"/>
      </w:tblGrid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Program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SELICA Literacy Corner (SLC)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Pertemuan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6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Tema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Cultural Literacy &amp; Exploration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Subtema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Cerita Rakyat, Tebak Pakaian Adat, Rumah Adat, &amp; Makanan Khas</w:t>
            </w:r>
          </w:p>
        </w:tc>
      </w:tr>
      <w:tr>
        <w:tc>
          <w:tcPr>
            <w:tcW w:type="dxa" w:w="28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Alokasi Waktu</w:t>
            </w:r>
          </w:p>
        </w:tc>
        <w:tc>
          <w:tcPr>
            <w:tcW w:type="dxa" w:w="6480"/>
            <w:shd w:fill="F5F5F5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45 Menit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b/>
                <w:color w:val="000000"/>
              </w:rPr>
              <w:t>Sasaran</w:t>
            </w:r>
          </w:p>
        </w:tc>
        <w:tc>
          <w:tcPr>
            <w:tcW w:type="dxa" w:w="648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40" w:before="40"/>
            </w:pPr>
            <w:r>
              <w:rPr>
                <w:color w:val="000000"/>
              </w:rPr>
              <w:t>Anak-anak SLC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B. Tujuan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memahami keberagaman budaya Nusantara melalui cerita rakyat dan visualisasi daerah.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mengidentifikasi pakaian adat, makanan khas, dan rumah adat dari berbagai provinsi di Indonesia.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Menumbuhkan rasa cinta tanah air dan wawasan kebudayaan nasional.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C. Capaian Pembelajaran</w:t>
      </w:r>
    </w:p>
    <w:p>
      <w:pPr>
        <w:spacing w:after="120" w:line="276" w:lineRule="auto"/>
      </w:pPr>
      <w:r>
        <w:rPr>
          <w:color w:val="000000"/>
        </w:rPr>
        <w:t>Peserta mampu mengenali keanekaragaman budaya Indonesia melalui dongeng rakyat dan kuis interaktif kebudayaan Nusantara.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D. Indikator Keberhasilan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menyimak cerita rakyat yang dibacakan/didengarkan dengan baik.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mampu menjawab kuis tebak pakaian adat, makanan khas, dan rumah adat.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Peserta aktif berpartisipasi dalam diskusi keberagaman budaya.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E. Materi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Literasi Kebudayaan: Cerita rakyat Nusantara (misal: Malin Kundang, Danau Toba, Roro Jonggrang).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Wawasan Nusantara: Keanekaragaman pakaian adat, rumah adat, dan makanan khas daerah.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F. Metode Pembelajaran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Bercerita (Storytelling)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Kuis Visual Interaktif (Tebak Gambar)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Diskusi Kelompok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G. Media dan Alat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Buku Cerita Rakyat / Media Audio Cerita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Flashcard / Kartu Gambar (Pakaian Adat, Rumah Adat, Makanan Khas)</w:t>
      </w:r>
    </w:p>
    <w:p>
      <w:pPr>
        <w:pStyle w:val="ListBullet"/>
        <w:spacing w:before="0" w:after="60" w:line="276" w:lineRule="auto"/>
      </w:pPr>
      <w:r>
        <w:rPr>
          <w:rFonts w:ascii="Calibri" w:hAnsi="Calibri"/>
          <w:color w:val="000000"/>
          <w:sz w:val="22"/>
        </w:rPr>
        <w:t>Papan Kuis / Peta Indonesia Sederhana</w:t>
      </w:r>
    </w:p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H. Langkah-langkah Pembelajaran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Tahap Kegiatan</w:t>
            </w:r>
          </w:p>
        </w:tc>
        <w:tc>
          <w:tcPr>
            <w:tcW w:type="dxa" w:w="144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b/>
                <w:color w:val="000000"/>
              </w:rPr>
              <w:t>Waktu</w:t>
            </w:r>
          </w:p>
        </w:tc>
        <w:tc>
          <w:tcPr>
            <w:tcW w:type="dxa" w:w="57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</w:pPr>
            <w:r>
              <w:rPr>
                <w:b/>
                <w:color w:val="000000"/>
              </w:rPr>
              <w:t>Deskripsi Kegiatan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Pendahuluan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8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Pembukaan, registrasi, doa, dan yel-yel kebudayaan.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Fasilitator mengenalkan tema "Jelajah Budaya Nusantara".</w:t>
            </w:r>
          </w:p>
        </w:tc>
      </w:tr>
      <w:tr>
        <w:tc>
          <w:tcPr>
            <w:tcW w:type="dxa" w:w="21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Kegiatan Inti</w:t>
            </w:r>
          </w:p>
        </w:tc>
        <w:tc>
          <w:tcPr>
            <w:tcW w:type="dxa" w:w="144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30 Menit</w:t>
            </w:r>
          </w:p>
        </w:tc>
        <w:tc>
          <w:tcPr>
            <w:tcW w:type="dxa" w:w="576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Sesi Storytelling (12 Menit): Fasilitator membacakan/memutar audio cerita rakyat Nusantara. Anak-anak menyimak kisah dan asal daerah cerita tersebut.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Game "Tebak Nusantara" (18 Menit): Fasilitator menampilkan kartu gambar pakaian adat, rumah adat, atau makanan khas. Kelompok anak menebak asal daerahnya.</w:t>
            </w:r>
          </w:p>
        </w:tc>
      </w:tr>
      <w:tr>
        <w:tc>
          <w:tcPr>
            <w:tcW w:type="dxa" w:w="21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rPr>
                <w:b/>
                <w:color w:val="000000"/>
              </w:rPr>
              <w:t>Penutup</w:t>
            </w:r>
          </w:p>
        </w:tc>
        <w:tc>
          <w:tcPr>
            <w:tcW w:type="dxa" w:w="144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color w:val="000000"/>
              </w:rPr>
              <w:t>7 Menit</w:t>
            </w:r>
          </w:p>
        </w:tc>
        <w:tc>
          <w:tcPr>
            <w:tcW w:type="dxa" w:w="5760"/>
            <w:shd w:fill="FAFAF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60" w:line="276" w:lineRule="auto"/>
            </w:pPr>
            <w:r>
              <w:rPr>
                <w:color w:val="000000"/>
              </w:rPr>
              <w:t>•  Pengulasan materi: Menekankan pentingnya menghargai perbedaan budaya.</w:t>
            </w:r>
          </w:p>
          <w:p>
            <w:pPr>
              <w:spacing w:before="0" w:after="60" w:line="276" w:lineRule="auto"/>
            </w:pPr>
            <w:r>
              <w:rPr>
                <w:color w:val="000000"/>
              </w:rPr>
              <w:t>•  Pengisian stamp logbook, foto bersama, dan doa penutup.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I. Penilaian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none"/>
          <w:right w:val="none"/>
          <w:insideH w:val="single" w:sz="4" w:space="0" w:color="CCCCCC"/>
          <w:insideV w:val="none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2592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Aspek</w:t>
            </w:r>
          </w:p>
        </w:tc>
        <w:tc>
          <w:tcPr>
            <w:tcW w:type="dxa" w:w="2160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Teknik</w:t>
            </w:r>
          </w:p>
        </w:tc>
        <w:tc>
          <w:tcPr>
            <w:tcW w:type="dxa" w:w="4608"/>
            <w:shd w:fill="E6E6E6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r>
              <w:rPr>
                <w:b/>
                <w:color w:val="000000"/>
              </w:rPr>
              <w:t>Instrumen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Pengetahuan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Kuis Lisan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Ketepatan menebak pakaian adat, rumah adat, dan makanan khas</w:t>
            </w:r>
          </w:p>
        </w:tc>
      </w:tr>
      <w:tr>
        <w:tc>
          <w:tcPr>
            <w:tcW w:type="dxa" w:w="2592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Sikap</w:t>
            </w:r>
          </w:p>
        </w:tc>
        <w:tc>
          <w:tcPr>
            <w:tcW w:type="dxa" w:w="216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Observasi</w:t>
            </w:r>
          </w:p>
        </w:tc>
        <w:tc>
          <w:tcPr>
            <w:tcW w:type="dxa" w:w="460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Antusiasme dan rasa hormat terhadap budaya Nusantara</w:t>
            </w:r>
          </w:p>
        </w:tc>
      </w:tr>
      <w:tr>
        <w:tc>
          <w:tcPr>
            <w:tcW w:type="dxa" w:w="2592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b/>
                <w:color w:val="000000"/>
              </w:rPr>
              <w:t>Keterampilan</w:t>
            </w:r>
          </w:p>
        </w:tc>
        <w:tc>
          <w:tcPr>
            <w:tcW w:type="dxa" w:w="2160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Unjuk Kerja</w:t>
            </w:r>
          </w:p>
        </w:tc>
        <w:tc>
          <w:tcPr>
            <w:tcW w:type="dxa" w:w="4608"/>
            <w:shd w:fill="FAFAFA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40" w:after="40"/>
            </w:pPr>
            <w:r>
              <w:rPr>
                <w:color w:val="000000"/>
              </w:rPr>
              <w:t>Kecepatan mengasosiasikan gambar budaya dengan daerah asalnya</w:t>
            </w:r>
          </w:p>
        </w:tc>
      </w:tr>
    </w:tbl>
    <w:p>
      <w:pPr>
        <w:keepNext/>
        <w:spacing w:before="280" w:after="80"/>
      </w:pPr>
      <w:r>
        <w:rPr>
          <w:rFonts w:ascii="Calibri" w:hAnsi="Calibri"/>
          <w:b/>
          <w:color w:val="000000"/>
          <w:sz w:val="26"/>
        </w:rPr>
        <w:t>J. Tindak Lanjut</w:t>
      </w:r>
    </w:p>
    <w:p>
      <w:pPr>
        <w:spacing w:before="80" w:after="120" w:line="276" w:lineRule="auto"/>
      </w:pPr>
      <w:r>
        <w:rPr>
          <w:color w:val="000000"/>
        </w:rPr>
        <w:t>Menyarankan peserta untuk membaca buku cerita rakyat lainnya dari koleksi Literacy Corner.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